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79" w:rsidRDefault="00B51A79">
      <w:pPr>
        <w:pStyle w:val="ConsPlusNormal"/>
        <w:spacing w:before="280"/>
        <w:jc w:val="right"/>
      </w:pPr>
      <w:bookmarkStart w:id="0" w:name="_GoBack"/>
      <w:bookmarkEnd w:id="0"/>
      <w:r>
        <w:t>Приложение N 1</w:t>
      </w:r>
    </w:p>
    <w:p w:rsidR="00B51A79" w:rsidRDefault="00B51A79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Порядку</w:t>
        </w:r>
      </w:hyperlink>
      <w:r>
        <w:t xml:space="preserve"> проведения оценки обеспечения</w:t>
      </w:r>
    </w:p>
    <w:p w:rsidR="00B51A79" w:rsidRDefault="00B51A79">
      <w:pPr>
        <w:pStyle w:val="ConsPlusNormal"/>
        <w:jc w:val="right"/>
      </w:pPr>
      <w:r>
        <w:t>готовности к отопительному периоду,</w:t>
      </w:r>
    </w:p>
    <w:p w:rsidR="00B51A79" w:rsidRDefault="00B51A79">
      <w:pPr>
        <w:pStyle w:val="ConsPlusNormal"/>
        <w:jc w:val="right"/>
      </w:pPr>
      <w:r>
        <w:t>утвержденному приказом Минэнерго России</w:t>
      </w:r>
    </w:p>
    <w:p w:rsidR="00B51A79" w:rsidRDefault="00B51A79">
      <w:pPr>
        <w:pStyle w:val="ConsPlusNormal"/>
        <w:jc w:val="right"/>
      </w:pPr>
      <w:r>
        <w:t>от 13 ноября 2024 г. N 2234</w:t>
      </w:r>
    </w:p>
    <w:p w:rsidR="00B51A79" w:rsidRDefault="00B51A79">
      <w:pPr>
        <w:pStyle w:val="ConsPlusNormal"/>
        <w:ind w:firstLine="540"/>
        <w:jc w:val="both"/>
      </w:pPr>
    </w:p>
    <w:p w:rsidR="00B51A79" w:rsidRDefault="00B51A79">
      <w:pPr>
        <w:pStyle w:val="ConsPlusNormal"/>
        <w:jc w:val="right"/>
      </w:pPr>
      <w:r>
        <w:t>Рекомендуемый образец</w:t>
      </w:r>
    </w:p>
    <w:p w:rsidR="00B51A79" w:rsidRDefault="00B51A79">
      <w:pPr>
        <w:pStyle w:val="ConsPlusNormal"/>
        <w:ind w:firstLine="540"/>
        <w:jc w:val="both"/>
      </w:pPr>
    </w:p>
    <w:p w:rsidR="00B51A79" w:rsidRDefault="00B51A79">
      <w:pPr>
        <w:pStyle w:val="ConsPlusNormal"/>
        <w:jc w:val="center"/>
      </w:pPr>
      <w:r>
        <w:t>Оценочный лист</w:t>
      </w:r>
    </w:p>
    <w:p w:rsidR="00B51A79" w:rsidRDefault="00B51A79">
      <w:pPr>
        <w:pStyle w:val="ConsPlusNormal"/>
        <w:jc w:val="center"/>
      </w:pPr>
      <w:r>
        <w:t>для расчета индекса готовности к отопительному периоду</w:t>
      </w:r>
    </w:p>
    <w:p w:rsidR="00B51A79" w:rsidRDefault="00B51A79">
      <w:pPr>
        <w:pStyle w:val="ConsPlusNormal"/>
        <w:jc w:val="center"/>
      </w:pPr>
      <w:r>
        <w:t>муниципального образования</w:t>
      </w:r>
    </w:p>
    <w:p w:rsidR="00B51A79" w:rsidRDefault="00B51A7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144"/>
        <w:gridCol w:w="2165"/>
        <w:gridCol w:w="1990"/>
        <w:gridCol w:w="1172"/>
        <w:gridCol w:w="1558"/>
        <w:gridCol w:w="2494"/>
        <w:gridCol w:w="1377"/>
        <w:gridCol w:w="1333"/>
      </w:tblGrid>
      <w:tr w:rsidR="00B51A79">
        <w:tc>
          <w:tcPr>
            <w:tcW w:w="566" w:type="dxa"/>
          </w:tcPr>
          <w:p w:rsidR="00B51A79" w:rsidRDefault="00B51A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</w:tcPr>
          <w:p w:rsidR="00B51A79" w:rsidRDefault="00B51A79">
            <w:pPr>
              <w:pStyle w:val="ConsPlusNormal"/>
              <w:jc w:val="center"/>
            </w:pPr>
            <w:r>
              <w:t>Обязательное требование</w:t>
            </w:r>
          </w:p>
        </w:tc>
        <w:tc>
          <w:tcPr>
            <w:tcW w:w="2267" w:type="dxa"/>
          </w:tcPr>
          <w:p w:rsidR="00B51A79" w:rsidRDefault="00B51A79">
            <w:pPr>
              <w:pStyle w:val="ConsPlusNormal"/>
              <w:jc w:val="center"/>
            </w:pPr>
            <w:r>
              <w:t>Подтверждающий документ</w:t>
            </w:r>
          </w:p>
        </w:tc>
        <w:tc>
          <w:tcPr>
            <w:tcW w:w="2041" w:type="dxa"/>
          </w:tcPr>
          <w:p w:rsidR="00B51A79" w:rsidRDefault="00B51A79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850" w:type="dxa"/>
          </w:tcPr>
          <w:p w:rsidR="00B51A79" w:rsidRDefault="00B51A79">
            <w:pPr>
              <w:pStyle w:val="ConsPlusNormal"/>
              <w:jc w:val="center"/>
            </w:pPr>
            <w:r>
              <w:t>Вес показателя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94" w:type="dxa"/>
          </w:tcPr>
          <w:p w:rsidR="00B51A79" w:rsidRDefault="00B51A79">
            <w:pPr>
              <w:pStyle w:val="ConsPlusNormal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  <w:jc w:val="center"/>
            </w:pPr>
            <w:r>
              <w:t>Значение (заполняется комиссией)</w:t>
            </w:r>
          </w:p>
        </w:tc>
        <w:tc>
          <w:tcPr>
            <w:tcW w:w="1666" w:type="dxa"/>
          </w:tcPr>
          <w:p w:rsidR="00B51A79" w:rsidRDefault="00B51A79">
            <w:pPr>
              <w:pStyle w:val="ConsPlusNormal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</w:p>
        </w:tc>
        <w:tc>
          <w:tcPr>
            <w:tcW w:w="2778" w:type="dxa"/>
          </w:tcPr>
          <w:p w:rsidR="00B51A79" w:rsidRDefault="00B51A79">
            <w:pPr>
              <w:pStyle w:val="ConsPlusNormal"/>
            </w:pPr>
          </w:p>
        </w:tc>
        <w:tc>
          <w:tcPr>
            <w:tcW w:w="2267" w:type="dxa"/>
          </w:tcPr>
          <w:p w:rsidR="00B51A79" w:rsidRDefault="00B51A79">
            <w:pPr>
              <w:pStyle w:val="ConsPlusNormal"/>
            </w:pPr>
          </w:p>
        </w:tc>
        <w:tc>
          <w:tcPr>
            <w:tcW w:w="4552" w:type="dxa"/>
            <w:gridSpan w:val="3"/>
          </w:tcPr>
          <w:p w:rsidR="00B51A79" w:rsidRDefault="00B51A79">
            <w:pPr>
              <w:pStyle w:val="ConsPlusNormal"/>
              <w:jc w:val="center"/>
            </w:pPr>
            <w:r>
              <w:t>ИНДЕКС ГОТОВНОСТИ</w:t>
            </w:r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proofErr w:type="spellStart"/>
            <w:r>
              <w:t>И</w:t>
            </w:r>
            <w:r>
              <w:rPr>
                <w:vertAlign w:val="subscript"/>
              </w:rPr>
              <w:t>мо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закон</w:t>
            </w:r>
            <w:proofErr w:type="spellEnd"/>
            <w:r>
              <w:rPr>
                <w:vertAlign w:val="subscript"/>
              </w:rPr>
              <w:t xml:space="preserve"> о </w:t>
            </w:r>
            <w:proofErr w:type="spellStart"/>
            <w:r>
              <w:rPr>
                <w:vertAlign w:val="subscript"/>
              </w:rPr>
              <w:t>тепл</w:t>
            </w:r>
            <w:proofErr w:type="spellEnd"/>
            <w:r>
              <w:t xml:space="preserve"> * 0,65 + </w:t>
            </w:r>
            <w:proofErr w:type="spellStart"/>
            <w:r>
              <w:t>К</w:t>
            </w:r>
            <w:r>
              <w:rPr>
                <w:vertAlign w:val="subscript"/>
              </w:rPr>
              <w:t>оценка</w:t>
            </w:r>
            <w:proofErr w:type="spellEnd"/>
            <w:r>
              <w:t xml:space="preserve"> * 0,35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B51A79" w:rsidRDefault="00B51A79">
            <w:pPr>
              <w:pStyle w:val="ConsPlusNormal"/>
            </w:pPr>
            <w:proofErr w:type="gramStart"/>
            <w:r>
              <w:t xml:space="preserve">Выполнить требования, установленные </w:t>
            </w:r>
            <w:hyperlink r:id="rId6">
              <w:r>
                <w:rPr>
                  <w:color w:val="0000FF"/>
                </w:rPr>
                <w:t>частью 3 статьи 20</w:t>
              </w:r>
            </w:hyperlink>
            <w:r>
              <w:t xml:space="preserve"> Федерального закона от 27 июля 2010 г. N 190-ФЗ "О теплоснабжении" (далее - Федеральный закон о теплоснабжении) </w:t>
            </w:r>
            <w:r>
              <w:lastRenderedPageBreak/>
              <w:t>(</w:t>
            </w:r>
            <w:hyperlink r:id="rId7">
              <w:r>
                <w:rPr>
                  <w:color w:val="0000FF"/>
                </w:rPr>
                <w:t>подпункт 8.1 пункта 8</w:t>
              </w:r>
            </w:hyperlink>
            <w:r>
              <w:t xml:space="preserve"> Правил обеспечения готовности к отопительному периоду, утвержденных приказом Минэнерго России от 13 ноября 2024 г. N 2234 (далее - Правила):</w:t>
            </w:r>
            <w:proofErr w:type="gramEnd"/>
          </w:p>
        </w:tc>
        <w:tc>
          <w:tcPr>
            <w:tcW w:w="2267" w:type="dxa"/>
          </w:tcPr>
          <w:p w:rsidR="00B51A79" w:rsidRDefault="00B51A79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041" w:type="dxa"/>
          </w:tcPr>
          <w:p w:rsidR="00B51A79" w:rsidRDefault="00B51A79">
            <w:pPr>
              <w:pStyle w:val="ConsPlusNormal"/>
            </w:pPr>
            <w:r>
              <w:t xml:space="preserve">Показатель выполнения требований Федерального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о теплоснабжении</w:t>
            </w: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0,65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закон</w:t>
            </w:r>
            <w:proofErr w:type="spellEnd"/>
            <w:r>
              <w:rPr>
                <w:vertAlign w:val="subscript"/>
              </w:rPr>
              <w:t xml:space="preserve"> о </w:t>
            </w:r>
            <w:proofErr w:type="spellStart"/>
            <w:r>
              <w:rPr>
                <w:vertAlign w:val="subscript"/>
              </w:rPr>
              <w:t>тепл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закон</w:t>
            </w:r>
            <w:proofErr w:type="spellEnd"/>
            <w:r>
              <w:rPr>
                <w:vertAlign w:val="subscript"/>
              </w:rPr>
              <w:t xml:space="preserve"> о </w:t>
            </w:r>
            <w:proofErr w:type="spellStart"/>
            <w:r>
              <w:rPr>
                <w:vertAlign w:val="subscript"/>
              </w:rPr>
              <w:t>тепл</w:t>
            </w:r>
            <w:proofErr w:type="spellEnd"/>
            <w:r>
              <w:t xml:space="preserve"> = </w:t>
            </w:r>
            <w:proofErr w:type="spellStart"/>
            <w:r>
              <w:t>К</w:t>
            </w:r>
            <w:r>
              <w:rPr>
                <w:vertAlign w:val="subscript"/>
              </w:rPr>
              <w:t>порядок</w:t>
            </w:r>
            <w:proofErr w:type="spellEnd"/>
            <w:r>
              <w:t xml:space="preserve"> * 0,4 + </w:t>
            </w:r>
            <w:proofErr w:type="spellStart"/>
            <w:r>
              <w:t>К</w:t>
            </w:r>
            <w:r>
              <w:rPr>
                <w:vertAlign w:val="subscript"/>
              </w:rPr>
              <w:t>схем</w:t>
            </w:r>
            <w:proofErr w:type="spellEnd"/>
            <w:r>
              <w:t xml:space="preserve"> * 0,3 + </w:t>
            </w: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  <w:r>
              <w:t xml:space="preserve"> * 0,3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2778" w:type="dxa"/>
          </w:tcPr>
          <w:p w:rsidR="00B51A79" w:rsidRDefault="00B51A79">
            <w:pPr>
              <w:pStyle w:val="ConsPlusNormal"/>
            </w:pPr>
            <w:r>
              <w:t>Иметь порядок (план) действий по ликвидации последствий аварийных ситуаций в сфере теплоснабжения в муниципальном образовании (</w:t>
            </w:r>
            <w:hyperlink r:id="rId9">
              <w:r>
                <w:rPr>
                  <w:color w:val="0000FF"/>
                </w:rPr>
                <w:t>пункт 1 части 3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267" w:type="dxa"/>
          </w:tcPr>
          <w:p w:rsidR="00B51A79" w:rsidRDefault="00B51A79">
            <w:pPr>
              <w:pStyle w:val="ConsPlusNormal"/>
            </w:pPr>
            <w:r>
              <w:t>Утвержденный (актуализированный) порядок (план) действий по ликвидации последствий аварийных ситуаций в сфере теплоснабжения в муниципальном образовании (в том числе с применением электронного моделирования аварийных ситуаций) (</w:t>
            </w:r>
            <w:hyperlink r:id="rId10">
              <w:r>
                <w:rPr>
                  <w:color w:val="0000FF"/>
                </w:rPr>
                <w:t>подпункт 8.3.1 пункта 8</w:t>
              </w:r>
            </w:hyperlink>
            <w:r>
              <w:t xml:space="preserve"> Правил)</w:t>
            </w:r>
          </w:p>
        </w:tc>
        <w:tc>
          <w:tcPr>
            <w:tcW w:w="2041" w:type="dxa"/>
          </w:tcPr>
          <w:p w:rsidR="00B51A79" w:rsidRDefault="00B51A79">
            <w:pPr>
              <w:pStyle w:val="ConsPlusNormal"/>
            </w:pPr>
            <w:r>
              <w:t>Показатель наличия порядка (плана) действий по ликвидации последствий аварийных ситуаций в сфере теплоснабжения в муниципальном образовании</w:t>
            </w: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0,4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порядок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t>Наличие - 1</w:t>
            </w:r>
          </w:p>
          <w:p w:rsidR="00B51A79" w:rsidRDefault="00B51A79">
            <w:pPr>
              <w:pStyle w:val="ConsPlusNormal"/>
            </w:pPr>
            <w:r>
              <w:t>Отсутствие - 0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t>1.2</w:t>
            </w:r>
          </w:p>
        </w:tc>
        <w:tc>
          <w:tcPr>
            <w:tcW w:w="2778" w:type="dxa"/>
          </w:tcPr>
          <w:p w:rsidR="00B51A79" w:rsidRDefault="00B51A79">
            <w:pPr>
              <w:pStyle w:val="ConsPlusNormal"/>
            </w:pPr>
            <w:r>
              <w:t xml:space="preserve">Иметь утвержденную </w:t>
            </w:r>
            <w:r>
              <w:lastRenderedPageBreak/>
              <w:t xml:space="preserve">актуализированную схему теплоснабжения в соответствии с </w:t>
            </w:r>
            <w:hyperlink r:id="rId11">
              <w:r>
                <w:rPr>
                  <w:color w:val="0000FF"/>
                </w:rPr>
                <w:t>частью 3 статьи 23</w:t>
              </w:r>
            </w:hyperlink>
            <w:r>
              <w:t xml:space="preserve"> Федерального закона о теплоснабжении (</w:t>
            </w:r>
            <w:hyperlink r:id="rId12">
              <w:r>
                <w:rPr>
                  <w:color w:val="0000FF"/>
                </w:rPr>
                <w:t>пункт 2 части 3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267" w:type="dxa"/>
          </w:tcPr>
          <w:p w:rsidR="00B51A79" w:rsidRDefault="00B51A79">
            <w:pPr>
              <w:pStyle w:val="ConsPlusNormal"/>
            </w:pPr>
            <w:r>
              <w:lastRenderedPageBreak/>
              <w:t xml:space="preserve">Утвержденная актуализированная </w:t>
            </w:r>
            <w:r>
              <w:lastRenderedPageBreak/>
              <w:t xml:space="preserve">схема теплоснабжения, в соответствии с требованиями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22 февраля 2012 г. N 154 (</w:t>
            </w:r>
            <w:hyperlink r:id="rId14">
              <w:r>
                <w:rPr>
                  <w:color w:val="0000FF"/>
                </w:rPr>
                <w:t>подпункт 8.3.2 пункта</w:t>
              </w:r>
            </w:hyperlink>
            <w:r>
              <w:t xml:space="preserve"> Правил)</w:t>
            </w:r>
          </w:p>
        </w:tc>
        <w:tc>
          <w:tcPr>
            <w:tcW w:w="2041" w:type="dxa"/>
          </w:tcPr>
          <w:p w:rsidR="00B51A79" w:rsidRDefault="00B51A79">
            <w:pPr>
              <w:pStyle w:val="ConsPlusNormal"/>
            </w:pPr>
            <w:r>
              <w:lastRenderedPageBreak/>
              <w:t xml:space="preserve">Показатель наличия </w:t>
            </w:r>
            <w:r>
              <w:lastRenderedPageBreak/>
              <w:t>утвержденной актуализированной схемы теплоснабжения</w:t>
            </w: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lastRenderedPageBreak/>
              <w:t>0,3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схем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t>Наличие - 1</w:t>
            </w:r>
          </w:p>
          <w:p w:rsidR="00B51A79" w:rsidRDefault="00B51A79">
            <w:pPr>
              <w:pStyle w:val="ConsPlusNormal"/>
            </w:pPr>
            <w:r>
              <w:t>Отсутствие - 0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2778" w:type="dxa"/>
          </w:tcPr>
          <w:p w:rsidR="00B51A79" w:rsidRDefault="00B51A79">
            <w:pPr>
              <w:pStyle w:val="ConsPlusNormal"/>
            </w:pPr>
            <w:r>
              <w:t xml:space="preserve">Обеспечить подготовку к отопительному периоду бесхозяйных объектов теплоснабжения, в отношении которых в соответствии с </w:t>
            </w:r>
            <w:hyperlink r:id="rId15">
              <w:r>
                <w:rPr>
                  <w:color w:val="0000FF"/>
                </w:rPr>
                <w:t>частью 6.4 статьи 15</w:t>
              </w:r>
            </w:hyperlink>
            <w:r>
              <w:t xml:space="preserve"> Федерального закона о теплоснабжении не определена организация по содержанию и обслуживанию (</w:t>
            </w:r>
            <w:hyperlink r:id="rId16">
              <w:r>
                <w:rPr>
                  <w:color w:val="0000FF"/>
                </w:rPr>
                <w:t>пункт 3 части 3 статьи 20</w:t>
              </w:r>
            </w:hyperlink>
            <w:r>
              <w:t xml:space="preserve"> Федерального </w:t>
            </w:r>
            <w:r>
              <w:lastRenderedPageBreak/>
              <w:t>закона о теплоснабжении)</w:t>
            </w:r>
          </w:p>
        </w:tc>
        <w:tc>
          <w:tcPr>
            <w:tcW w:w="2267" w:type="dxa"/>
          </w:tcPr>
          <w:p w:rsidR="00B51A79" w:rsidRDefault="00B51A79">
            <w:pPr>
              <w:pStyle w:val="ConsPlusNormal"/>
            </w:pPr>
            <w:proofErr w:type="gramStart"/>
            <w:r>
              <w:lastRenderedPageBreak/>
              <w:t xml:space="preserve">Документы, предусмотренные </w:t>
            </w:r>
            <w:hyperlink r:id="rId17">
              <w:r>
                <w:rPr>
                  <w:color w:val="0000FF"/>
                </w:rPr>
                <w:t>подпунктами 9.3.1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9.3.3</w:t>
              </w:r>
            </w:hyperlink>
            <w:r>
              <w:t xml:space="preserve"> - </w:t>
            </w:r>
            <w:hyperlink r:id="rId19">
              <w:r>
                <w:rPr>
                  <w:color w:val="0000FF"/>
                </w:rPr>
                <w:t>9.3.12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9.3.14</w:t>
              </w:r>
            </w:hyperlink>
            <w:r>
              <w:t xml:space="preserve"> - </w:t>
            </w:r>
            <w:hyperlink r:id="rId21">
              <w:r>
                <w:rPr>
                  <w:color w:val="0000FF"/>
                </w:rPr>
                <w:t>9.3.16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9.3.18</w:t>
              </w:r>
            </w:hyperlink>
            <w:r>
              <w:t xml:space="preserve"> - </w:t>
            </w:r>
            <w:hyperlink r:id="rId23">
              <w:r>
                <w:rPr>
                  <w:color w:val="0000FF"/>
                </w:rPr>
                <w:t>9.3.24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9.3.26</w:t>
              </w:r>
            </w:hyperlink>
            <w:r>
              <w:t xml:space="preserve"> - </w:t>
            </w:r>
            <w:hyperlink r:id="rId25">
              <w:r>
                <w:rPr>
                  <w:color w:val="0000FF"/>
                </w:rPr>
                <w:t>9.3.28 пункта 9</w:t>
              </w:r>
            </w:hyperlink>
            <w:r>
              <w:t xml:space="preserve"> Правил, и документы, подтверждающие выполнение требований по обеспечению готовности к отопительному периоду бесхозяйных объектов теплоснабжения, в отношении которых не определена </w:t>
            </w:r>
            <w:r>
              <w:lastRenderedPageBreak/>
              <w:t xml:space="preserve">организация, которая будет осуществлять содержание и обслуживание бесхозяйного объекта теплоснабжения, в соответствии с требованиями </w:t>
            </w:r>
            <w:hyperlink r:id="rId26">
              <w:r>
                <w:rPr>
                  <w:color w:val="0000FF"/>
                </w:rPr>
                <w:t>части 6.1 статьи 15</w:t>
              </w:r>
            </w:hyperlink>
            <w:r>
              <w:t xml:space="preserve"> Федерального закона о теплоснабжении (</w:t>
            </w:r>
            <w:hyperlink r:id="rId27">
              <w:r>
                <w:rPr>
                  <w:color w:val="0000FF"/>
                </w:rPr>
                <w:t>подпункт 8.3.3 пункта 8</w:t>
              </w:r>
              <w:proofErr w:type="gramEnd"/>
            </w:hyperlink>
            <w:r>
              <w:t xml:space="preserve"> </w:t>
            </w:r>
            <w:proofErr w:type="gramStart"/>
            <w:r>
              <w:t>Правил)</w:t>
            </w:r>
            <w:proofErr w:type="gramEnd"/>
          </w:p>
        </w:tc>
        <w:tc>
          <w:tcPr>
            <w:tcW w:w="2041" w:type="dxa"/>
          </w:tcPr>
          <w:p w:rsidR="00B51A79" w:rsidRDefault="00B51A79">
            <w:pPr>
              <w:pStyle w:val="ConsPlusNormal"/>
            </w:pPr>
            <w:r>
              <w:lastRenderedPageBreak/>
              <w:t>Показатель подготовки к отопительному периоду бесхозяйных объектов теплоснабжения</w:t>
            </w: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0,3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t xml:space="preserve">При отсутствии бесхозяйных объектов теплоснабжения, в отношении которых не определена организация, которая будет осуществлять содержание и обслуживание бесхозяйного объекта теплоснабжения </w:t>
            </w: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  <w:r>
              <w:t xml:space="preserve"> принимается равным 1.</w:t>
            </w:r>
          </w:p>
          <w:p w:rsidR="00B51A79" w:rsidRDefault="00B51A79">
            <w:pPr>
              <w:pStyle w:val="ConsPlusNormal"/>
            </w:pPr>
            <w:r>
              <w:t xml:space="preserve">При наличии бесхозяйных объектов теплоснабжения, для которых определена организация по содержанию и обслуживанию </w:t>
            </w: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  <w:r>
              <w:t xml:space="preserve"> принимается </w:t>
            </w:r>
            <w:proofErr w:type="gramStart"/>
            <w:r>
              <w:t>равным</w:t>
            </w:r>
            <w:proofErr w:type="gramEnd"/>
            <w:r>
              <w:t xml:space="preserve"> 1.</w:t>
            </w:r>
          </w:p>
          <w:p w:rsidR="00B51A79" w:rsidRDefault="00B51A79">
            <w:pPr>
              <w:pStyle w:val="ConsPlusNormal"/>
            </w:pPr>
            <w:r>
              <w:lastRenderedPageBreak/>
              <w:t xml:space="preserve">Если для бесхозяйных объектов не определена организация, которая будет осуществлять содержание и обслуживание, расчет </w:t>
            </w:r>
            <w:proofErr w:type="spellStart"/>
            <w:r>
              <w:t>К</w:t>
            </w:r>
            <w:r>
              <w:rPr>
                <w:vertAlign w:val="subscript"/>
              </w:rPr>
              <w:t>бесхоз</w:t>
            </w:r>
            <w:proofErr w:type="spellEnd"/>
            <w:r>
              <w:t xml:space="preserve"> ведется в соответствии с </w:t>
            </w:r>
            <w:hyperlink r:id="rId28">
              <w:r>
                <w:rPr>
                  <w:color w:val="0000FF"/>
                </w:rPr>
                <w:t>Приложением</w:t>
              </w:r>
            </w:hyperlink>
            <w:r>
              <w:t xml:space="preserve"> к оценочному листу для расчета показателя подготовки бесхозяйных объектов теплоснабжения, которым не определена организация, осуществляющая содержание и обслуживание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778" w:type="dxa"/>
            <w:vMerge w:val="restart"/>
          </w:tcPr>
          <w:p w:rsidR="00B51A79" w:rsidRDefault="00B51A79">
            <w:pPr>
              <w:pStyle w:val="ConsPlusNormal"/>
            </w:pPr>
            <w:r>
              <w:t xml:space="preserve">Осуществить оценку обеспечения готовности к отопительному периоду лицами, указанными в </w:t>
            </w:r>
            <w:hyperlink r:id="rId29">
              <w:r>
                <w:rPr>
                  <w:color w:val="0000FF"/>
                </w:rPr>
                <w:t>подпунктах 1.2</w:t>
              </w:r>
            </w:hyperlink>
            <w:r>
              <w:t xml:space="preserve"> - </w:t>
            </w:r>
            <w:hyperlink r:id="rId30">
              <w:r>
                <w:rPr>
                  <w:color w:val="0000FF"/>
                </w:rPr>
                <w:t>1.6 пункта 1</w:t>
              </w:r>
            </w:hyperlink>
            <w:r>
              <w:t xml:space="preserve"> Правил в соответствии с Порядком проведения оценки обеспечения готовности к </w:t>
            </w:r>
            <w:r>
              <w:lastRenderedPageBreak/>
              <w:t>отопительному периоду, утвержденным приказом Минэнерго России от 13 ноября 2024 г. N 2234 (далее - Порядок) (</w:t>
            </w:r>
            <w:hyperlink r:id="rId31">
              <w:r>
                <w:rPr>
                  <w:color w:val="0000FF"/>
                </w:rPr>
                <w:t>подпункт 8.2 пункта 8</w:t>
              </w:r>
            </w:hyperlink>
            <w:r>
              <w:t xml:space="preserve"> Правил)</w:t>
            </w:r>
          </w:p>
        </w:tc>
        <w:tc>
          <w:tcPr>
            <w:tcW w:w="2267" w:type="dxa"/>
            <w:vMerge w:val="restart"/>
          </w:tcPr>
          <w:p w:rsidR="00B51A79" w:rsidRDefault="00B51A79">
            <w:pPr>
              <w:pStyle w:val="ConsPlusNormal"/>
            </w:pPr>
            <w:r>
              <w:lastRenderedPageBreak/>
              <w:t xml:space="preserve">Выданные акты оценки обеспечения готовности к отопительному периоду, подтверждающие выполнение требований, установленных </w:t>
            </w:r>
            <w:hyperlink r:id="rId32">
              <w:r>
                <w:rPr>
                  <w:color w:val="0000FF"/>
                </w:rPr>
                <w:t>подпунктом 8.2 пункта 8</w:t>
              </w:r>
            </w:hyperlink>
            <w:r>
              <w:t xml:space="preserve"> (</w:t>
            </w:r>
            <w:hyperlink r:id="rId33">
              <w:r>
                <w:rPr>
                  <w:color w:val="0000FF"/>
                </w:rPr>
                <w:t>подпункт 8.2 пункта 8</w:t>
              </w:r>
            </w:hyperlink>
            <w:r>
              <w:t xml:space="preserve"> Правил)</w:t>
            </w:r>
          </w:p>
        </w:tc>
        <w:tc>
          <w:tcPr>
            <w:tcW w:w="2041" w:type="dxa"/>
            <w:vMerge w:val="restart"/>
          </w:tcPr>
          <w:p w:rsidR="00B51A79" w:rsidRDefault="00B51A79">
            <w:pPr>
              <w:pStyle w:val="ConsPlusNormal"/>
            </w:pPr>
            <w:r>
              <w:t xml:space="preserve">Показатель оценки обеспечения готовности к отопительному периоду лицами, указанными в </w:t>
            </w:r>
            <w:hyperlink r:id="rId34">
              <w:r>
                <w:rPr>
                  <w:color w:val="0000FF"/>
                </w:rPr>
                <w:t>подпунктах 1.2</w:t>
              </w:r>
            </w:hyperlink>
            <w:r>
              <w:t xml:space="preserve"> - </w:t>
            </w:r>
            <w:hyperlink r:id="rId35">
              <w:r>
                <w:rPr>
                  <w:color w:val="0000FF"/>
                </w:rPr>
                <w:t>1.6 пункта 1</w:t>
              </w:r>
            </w:hyperlink>
            <w:r>
              <w:t xml:space="preserve"> Правил</w:t>
            </w: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0,35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r>
              <w:t>К</w:t>
            </w:r>
            <w:r>
              <w:rPr>
                <w:vertAlign w:val="subscript"/>
              </w:rPr>
              <w:t>оценка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504950" cy="4667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t>2.1</w:t>
            </w: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-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proofErr w:type="gramStart"/>
            <w:r>
              <w:t>l</w:t>
            </w:r>
            <w:proofErr w:type="gramEnd"/>
            <w:r>
              <w:rPr>
                <w:vertAlign w:val="subscript"/>
              </w:rPr>
              <w:t>порядок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t xml:space="preserve">При соблюдении Порядка </w:t>
            </w:r>
            <w:proofErr w:type="spellStart"/>
            <w:r>
              <w:t>l</w:t>
            </w:r>
            <w:r>
              <w:rPr>
                <w:vertAlign w:val="subscript"/>
              </w:rPr>
              <w:t>порядок</w:t>
            </w:r>
            <w:proofErr w:type="spellEnd"/>
            <w:r>
              <w:t xml:space="preserve"> принимается </w:t>
            </w:r>
            <w:proofErr w:type="gramStart"/>
            <w:r>
              <w:t>равным</w:t>
            </w:r>
            <w:proofErr w:type="gramEnd"/>
            <w:r>
              <w:t xml:space="preserve"> 1.</w:t>
            </w:r>
          </w:p>
          <w:p w:rsidR="00B51A79" w:rsidRDefault="00B51A79">
            <w:pPr>
              <w:pStyle w:val="ConsPlusNormal"/>
            </w:pPr>
            <w:r>
              <w:t xml:space="preserve">При не соблюдении Порядка </w:t>
            </w:r>
            <w:proofErr w:type="spellStart"/>
            <w:r>
              <w:t>l</w:t>
            </w:r>
            <w:r>
              <w:rPr>
                <w:vertAlign w:val="subscript"/>
              </w:rPr>
              <w:t>порядок</w:t>
            </w:r>
            <w:proofErr w:type="spellEnd"/>
            <w:r>
              <w:t xml:space="preserve"> принимается </w:t>
            </w:r>
            <w:proofErr w:type="gramStart"/>
            <w:r>
              <w:t>равным</w:t>
            </w:r>
            <w:proofErr w:type="gramEnd"/>
            <w:r>
              <w:t xml:space="preserve"> 0.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t>2.2</w:t>
            </w: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-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актов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t xml:space="preserve">Количество теплоснабжающих и </w:t>
            </w:r>
            <w:proofErr w:type="spellStart"/>
            <w:r>
              <w:t>теплосетевых</w:t>
            </w:r>
            <w:proofErr w:type="spellEnd"/>
            <w:r>
              <w:t xml:space="preserve"> </w:t>
            </w:r>
            <w:r>
              <w:lastRenderedPageBreak/>
              <w:t xml:space="preserve">организаций, владельцев тепловых сетей, не являющихся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организациями, прошедших оценку готовности и получивших акт оценки обеспечения готовности к отопительному периоду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  <w:tr w:rsidR="00B51A79">
        <w:tc>
          <w:tcPr>
            <w:tcW w:w="566" w:type="dxa"/>
          </w:tcPr>
          <w:p w:rsidR="00B51A79" w:rsidRDefault="00B51A79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0" w:type="auto"/>
            <w:vMerge/>
          </w:tcPr>
          <w:p w:rsidR="00B51A79" w:rsidRDefault="00B51A79">
            <w:pPr>
              <w:pStyle w:val="ConsPlusNormal"/>
            </w:pPr>
          </w:p>
        </w:tc>
        <w:tc>
          <w:tcPr>
            <w:tcW w:w="850" w:type="dxa"/>
          </w:tcPr>
          <w:p w:rsidR="00B51A79" w:rsidRDefault="00B51A79">
            <w:pPr>
              <w:pStyle w:val="ConsPlusNormal"/>
            </w:pPr>
            <w:r>
              <w:t>-</w:t>
            </w:r>
          </w:p>
        </w:tc>
        <w:tc>
          <w:tcPr>
            <w:tcW w:w="1661" w:type="dxa"/>
          </w:tcPr>
          <w:p w:rsidR="00B51A79" w:rsidRDefault="00B51A79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всего</w:t>
            </w:r>
            <w:proofErr w:type="spellEnd"/>
          </w:p>
        </w:tc>
        <w:tc>
          <w:tcPr>
            <w:tcW w:w="2494" w:type="dxa"/>
          </w:tcPr>
          <w:p w:rsidR="00B51A79" w:rsidRDefault="00B51A79">
            <w:pPr>
              <w:pStyle w:val="ConsPlusNormal"/>
            </w:pPr>
            <w:r>
              <w:t xml:space="preserve">Количество теплоснабжающих и </w:t>
            </w:r>
            <w:proofErr w:type="spellStart"/>
            <w:r>
              <w:t>теплосетевых</w:t>
            </w:r>
            <w:proofErr w:type="spellEnd"/>
            <w:r>
              <w:t xml:space="preserve"> организаций, владельцев тепловых сетей, не являющихся </w:t>
            </w:r>
            <w:proofErr w:type="spellStart"/>
            <w:r>
              <w:t>теплосетевыми</w:t>
            </w:r>
            <w:proofErr w:type="spellEnd"/>
            <w:r>
              <w:t xml:space="preserve"> организациями, всего (информация о количестве должна соответствовать схемам теплоснабжения)</w:t>
            </w:r>
          </w:p>
        </w:tc>
        <w:tc>
          <w:tcPr>
            <w:tcW w:w="1512" w:type="dxa"/>
          </w:tcPr>
          <w:p w:rsidR="00B51A79" w:rsidRDefault="00B51A79">
            <w:pPr>
              <w:pStyle w:val="ConsPlusNormal"/>
            </w:pPr>
          </w:p>
        </w:tc>
        <w:tc>
          <w:tcPr>
            <w:tcW w:w="1666" w:type="dxa"/>
          </w:tcPr>
          <w:p w:rsidR="00B51A79" w:rsidRDefault="00B51A79">
            <w:pPr>
              <w:pStyle w:val="ConsPlusNormal"/>
            </w:pPr>
          </w:p>
        </w:tc>
      </w:tr>
    </w:tbl>
    <w:p w:rsidR="00B51A79" w:rsidRDefault="00B51A79">
      <w:pPr>
        <w:pStyle w:val="ConsPlusNormal"/>
        <w:ind w:firstLine="540"/>
        <w:jc w:val="both"/>
      </w:pPr>
    </w:p>
    <w:p w:rsidR="00B51A79" w:rsidRDefault="00B51A79">
      <w:pPr>
        <w:pStyle w:val="ConsPlusNormal"/>
        <w:ind w:firstLine="540"/>
        <w:jc w:val="both"/>
      </w:pPr>
    </w:p>
    <w:p w:rsidR="00B51A79" w:rsidRDefault="00B51A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00A" w:rsidRDefault="00ED000A"/>
    <w:sectPr w:rsidR="00ED000A" w:rsidSect="00953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79"/>
    <w:rsid w:val="0007351E"/>
    <w:rsid w:val="004575BF"/>
    <w:rsid w:val="0056325A"/>
    <w:rsid w:val="005C622C"/>
    <w:rsid w:val="006F549D"/>
    <w:rsid w:val="00B51A79"/>
    <w:rsid w:val="00D7402E"/>
    <w:rsid w:val="00E4215D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1A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1A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454" TargetMode="External"/><Relationship Id="rId18" Type="http://schemas.openxmlformats.org/officeDocument/2006/relationships/hyperlink" Target="https://login.consultant.ru/link/?req=doc&amp;base=LAW&amp;n=491894&amp;dst=100072" TargetMode="External"/><Relationship Id="rId26" Type="http://schemas.openxmlformats.org/officeDocument/2006/relationships/hyperlink" Target="https://login.consultant.ru/link/?req=doc&amp;base=LAW&amp;n=483239&amp;dst=349" TargetMode="External"/><Relationship Id="rId21" Type="http://schemas.openxmlformats.org/officeDocument/2006/relationships/hyperlink" Target="https://login.consultant.ru/link/?req=doc&amp;base=LAW&amp;n=491894&amp;dst=100091" TargetMode="External"/><Relationship Id="rId34" Type="http://schemas.openxmlformats.org/officeDocument/2006/relationships/hyperlink" Target="https://login.consultant.ru/link/?req=doc&amp;base=LAW&amp;n=491894&amp;dst=100228" TargetMode="External"/><Relationship Id="rId7" Type="http://schemas.openxmlformats.org/officeDocument/2006/relationships/hyperlink" Target="https://login.consultant.ru/link/?req=doc&amp;base=LAW&amp;n=491894&amp;dst=100045" TargetMode="External"/><Relationship Id="rId12" Type="http://schemas.openxmlformats.org/officeDocument/2006/relationships/hyperlink" Target="https://login.consultant.ru/link/?req=doc&amp;base=LAW&amp;n=483239&amp;dst=529" TargetMode="External"/><Relationship Id="rId17" Type="http://schemas.openxmlformats.org/officeDocument/2006/relationships/hyperlink" Target="https://login.consultant.ru/link/?req=doc&amp;base=LAW&amp;n=491894&amp;dst=100070" TargetMode="External"/><Relationship Id="rId25" Type="http://schemas.openxmlformats.org/officeDocument/2006/relationships/hyperlink" Target="https://login.consultant.ru/link/?req=doc&amp;base=LAW&amp;n=491894&amp;dst=100107" TargetMode="External"/><Relationship Id="rId33" Type="http://schemas.openxmlformats.org/officeDocument/2006/relationships/hyperlink" Target="https://login.consultant.ru/link/?req=doc&amp;base=LAW&amp;n=491894&amp;dst=100046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239&amp;dst=530" TargetMode="External"/><Relationship Id="rId20" Type="http://schemas.openxmlformats.org/officeDocument/2006/relationships/hyperlink" Target="https://login.consultant.ru/link/?req=doc&amp;base=LAW&amp;n=491894&amp;dst=100087" TargetMode="External"/><Relationship Id="rId29" Type="http://schemas.openxmlformats.org/officeDocument/2006/relationships/hyperlink" Target="https://login.consultant.ru/link/?req=doc&amp;base=LAW&amp;n=491894&amp;dst=1002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&amp;dst=527" TargetMode="External"/><Relationship Id="rId11" Type="http://schemas.openxmlformats.org/officeDocument/2006/relationships/hyperlink" Target="https://login.consultant.ru/link/?req=doc&amp;base=LAW&amp;n=483239&amp;dst=100360" TargetMode="External"/><Relationship Id="rId24" Type="http://schemas.openxmlformats.org/officeDocument/2006/relationships/hyperlink" Target="https://login.consultant.ru/link/?req=doc&amp;base=LAW&amp;n=491894&amp;dst=100103" TargetMode="External"/><Relationship Id="rId32" Type="http://schemas.openxmlformats.org/officeDocument/2006/relationships/hyperlink" Target="https://login.consultant.ru/link/?req=doc&amp;base=LAW&amp;n=491894&amp;dst=10004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1894&amp;dst=100225" TargetMode="External"/><Relationship Id="rId15" Type="http://schemas.openxmlformats.org/officeDocument/2006/relationships/hyperlink" Target="https://login.consultant.ru/link/?req=doc&amp;base=LAW&amp;n=483239&amp;dst=352" TargetMode="External"/><Relationship Id="rId23" Type="http://schemas.openxmlformats.org/officeDocument/2006/relationships/hyperlink" Target="https://login.consultant.ru/link/?req=doc&amp;base=LAW&amp;n=491894&amp;dst=100099" TargetMode="External"/><Relationship Id="rId28" Type="http://schemas.openxmlformats.org/officeDocument/2006/relationships/hyperlink" Target="https://login.consultant.ru/link/?req=doc&amp;base=LAW&amp;n=491894&amp;dst=100337" TargetMode="External"/><Relationship Id="rId36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91894&amp;dst=100050" TargetMode="External"/><Relationship Id="rId19" Type="http://schemas.openxmlformats.org/officeDocument/2006/relationships/hyperlink" Target="https://login.consultant.ru/link/?req=doc&amp;base=LAW&amp;n=491894&amp;dst=100085" TargetMode="External"/><Relationship Id="rId31" Type="http://schemas.openxmlformats.org/officeDocument/2006/relationships/hyperlink" Target="https://login.consultant.ru/link/?req=doc&amp;base=LAW&amp;n=491894&amp;dst=10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9&amp;dst=528" TargetMode="External"/><Relationship Id="rId14" Type="http://schemas.openxmlformats.org/officeDocument/2006/relationships/hyperlink" Target="https://login.consultant.ru/link/?req=doc&amp;base=LAW&amp;n=491894&amp;dst=100059" TargetMode="External"/><Relationship Id="rId22" Type="http://schemas.openxmlformats.org/officeDocument/2006/relationships/hyperlink" Target="https://login.consultant.ru/link/?req=doc&amp;base=LAW&amp;n=491894&amp;dst=100093" TargetMode="External"/><Relationship Id="rId27" Type="http://schemas.openxmlformats.org/officeDocument/2006/relationships/hyperlink" Target="https://login.consultant.ru/link/?req=doc&amp;base=LAW&amp;n=491894&amp;dst=100060" TargetMode="External"/><Relationship Id="rId30" Type="http://schemas.openxmlformats.org/officeDocument/2006/relationships/hyperlink" Target="https://login.consultant.ru/link/?req=doc&amp;base=LAW&amp;n=491894&amp;dst=100232" TargetMode="External"/><Relationship Id="rId35" Type="http://schemas.openxmlformats.org/officeDocument/2006/relationships/hyperlink" Target="https://login.consultant.ru/link/?req=doc&amp;base=LAW&amp;n=491894&amp;dst=100232" TargetMode="External"/><Relationship Id="rId8" Type="http://schemas.openxmlformats.org/officeDocument/2006/relationships/hyperlink" Target="https://login.consultant.ru/link/?req=doc&amp;base=LAW&amp;n=48323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Мицкая Лариса Валерьевна</dc:creator>
  <cp:lastModifiedBy>Мицкая Лариса Валерьевна</cp:lastModifiedBy>
  <cp:revision>1</cp:revision>
  <dcterms:created xsi:type="dcterms:W3CDTF">2024-12-12T05:52:00Z</dcterms:created>
  <dcterms:modified xsi:type="dcterms:W3CDTF">2024-12-12T05:52:00Z</dcterms:modified>
</cp:coreProperties>
</file>